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105508" w:rsidP="00671800">
      <w:r>
        <w:t>CIAB/ 1 (136</w:t>
      </w:r>
      <w:r w:rsidR="00671800">
        <w:t xml:space="preserve">)/14-15                   </w:t>
      </w:r>
      <w:r w:rsidR="00671800">
        <w:tab/>
      </w:r>
      <w:r w:rsidR="00671800">
        <w:tab/>
      </w:r>
      <w:r w:rsidR="00671800">
        <w:tab/>
      </w:r>
      <w:r w:rsidR="000E0222">
        <w:tab/>
        <w:t xml:space="preserve">             </w:t>
      </w:r>
      <w:r w:rsidR="000E0222">
        <w:tab/>
      </w:r>
      <w:r w:rsidR="000E0222">
        <w:tab/>
        <w:t xml:space="preserve">             </w:t>
      </w:r>
      <w:r>
        <w:tab/>
      </w:r>
      <w:r>
        <w:tab/>
        <w:t xml:space="preserve"> 22</w:t>
      </w:r>
      <w:r w:rsidRPr="00105508">
        <w:rPr>
          <w:vertAlign w:val="superscript"/>
        </w:rPr>
        <w:t>nd</w:t>
      </w:r>
      <w:r>
        <w:rPr>
          <w:vertAlign w:val="superscript"/>
        </w:rPr>
        <w:t xml:space="preserve"> </w:t>
      </w:r>
      <w:r>
        <w:t>January</w:t>
      </w:r>
      <w:r w:rsidR="00671800">
        <w:t xml:space="preserve"> 2014</w:t>
      </w:r>
    </w:p>
    <w:p w:rsidR="00671800" w:rsidRDefault="00671800" w:rsidP="00671800">
      <w:pPr>
        <w:spacing w:after="0" w:line="240" w:lineRule="auto"/>
      </w:pPr>
    </w:p>
    <w:p w:rsidR="00671800" w:rsidRDefault="00671800" w:rsidP="00671800">
      <w:pPr>
        <w:spacing w:after="0" w:line="240" w:lineRule="auto"/>
      </w:pPr>
    </w:p>
    <w:p w:rsidR="00DE14C9" w:rsidRDefault="00DE14C9" w:rsidP="00671800">
      <w:pPr>
        <w:spacing w:after="0" w:line="240" w:lineRule="auto"/>
      </w:pPr>
    </w:p>
    <w:p w:rsidR="00C23D58" w:rsidRDefault="00C23D58" w:rsidP="00671800">
      <w:pPr>
        <w:spacing w:after="0" w:line="240" w:lineRule="auto"/>
      </w:pPr>
    </w:p>
    <w:p w:rsidR="00C23D58" w:rsidRDefault="00C23D58" w:rsidP="00671800">
      <w:pPr>
        <w:spacing w:after="0" w:line="240" w:lineRule="auto"/>
      </w:pPr>
    </w:p>
    <w:p w:rsidR="00DE14C9" w:rsidRDefault="00DE14C9"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41282">
        <w:rPr>
          <w:rFonts w:cs="Calibri"/>
          <w:sz w:val="20"/>
          <w:szCs w:val="20"/>
          <w:lang w:val="en-IN" w:eastAsia="en-IN"/>
        </w:rPr>
        <w:t xml:space="preserve"> </w:t>
      </w:r>
      <w:r w:rsidR="00105508">
        <w:rPr>
          <w:rFonts w:cs="Calibri"/>
          <w:b/>
          <w:bCs/>
          <w:sz w:val="20"/>
          <w:szCs w:val="20"/>
          <w:lang w:val="en-IN" w:eastAsia="en-IN"/>
        </w:rPr>
        <w:t>11th</w:t>
      </w:r>
      <w:r w:rsidR="000E0222">
        <w:rPr>
          <w:rFonts w:cs="Calibri"/>
          <w:b/>
          <w:bCs/>
          <w:sz w:val="20"/>
          <w:szCs w:val="20"/>
          <w:lang w:val="en-IN" w:eastAsia="en-IN"/>
        </w:rPr>
        <w:t xml:space="preserve"> </w:t>
      </w:r>
      <w:r w:rsidR="00105508">
        <w:rPr>
          <w:rFonts w:cs="Calibri"/>
          <w:b/>
          <w:bCs/>
          <w:sz w:val="20"/>
          <w:szCs w:val="20"/>
          <w:lang w:val="en-IN" w:eastAsia="en-IN"/>
        </w:rPr>
        <w:t>.0</w:t>
      </w:r>
      <w:r w:rsidR="00941282" w:rsidRPr="00941282">
        <w:rPr>
          <w:rFonts w:cs="Calibri"/>
          <w:b/>
          <w:bCs/>
          <w:sz w:val="20"/>
          <w:szCs w:val="20"/>
          <w:lang w:val="en-IN" w:eastAsia="en-IN"/>
        </w:rPr>
        <w:t>2.</w:t>
      </w:r>
      <w:r w:rsidR="00105508">
        <w:rPr>
          <w:rFonts w:cs="Mangal"/>
          <w:b/>
          <w:bCs/>
          <w:sz w:val="20"/>
          <w:szCs w:val="20"/>
          <w:lang w:val="en-IN" w:eastAsia="en-IN" w:bidi="hi-IN"/>
        </w:rPr>
        <w:t>2015</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105508">
        <w:rPr>
          <w:rFonts w:ascii="Arial" w:hAnsi="Arial" w:cs="Arial"/>
          <w:b/>
          <w:bCs/>
          <w:sz w:val="20"/>
          <w:szCs w:val="20"/>
          <w:u w:val="single"/>
          <w:lang w:val="en-IN" w:eastAsia="en-IN"/>
        </w:rPr>
        <w:t>Vacuum Oven</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00C3057B">
        <w:rPr>
          <w:rFonts w:ascii="Century Gothic" w:hAnsi="Century Gothic"/>
          <w:b/>
          <w:sz w:val="20"/>
          <w:szCs w:val="20"/>
          <w:u w:val="single"/>
        </w:rPr>
        <w:t xml:space="preserve">on </w:t>
      </w:r>
      <w:r w:rsidR="000E0222">
        <w:rPr>
          <w:rFonts w:ascii="Century Gothic" w:hAnsi="Century Gothic"/>
          <w:b/>
          <w:sz w:val="20"/>
          <w:szCs w:val="20"/>
          <w:u w:val="single"/>
        </w:rPr>
        <w:t>11</w:t>
      </w:r>
      <w:r w:rsidR="00105508">
        <w:rPr>
          <w:rFonts w:ascii="Century Gothic" w:hAnsi="Century Gothic"/>
          <w:b/>
          <w:sz w:val="20"/>
          <w:szCs w:val="20"/>
          <w:u w:val="single"/>
        </w:rPr>
        <w:t>.0</w:t>
      </w:r>
      <w:r w:rsidR="00941282">
        <w:rPr>
          <w:rFonts w:ascii="Century Gothic" w:hAnsi="Century Gothic"/>
          <w:b/>
          <w:sz w:val="20"/>
          <w:szCs w:val="20"/>
          <w:u w:val="single"/>
        </w:rPr>
        <w:t>2</w:t>
      </w:r>
      <w:r w:rsidR="00C3057B">
        <w:rPr>
          <w:rFonts w:ascii="Century Gothic" w:hAnsi="Century Gothic"/>
          <w:b/>
          <w:sz w:val="20"/>
          <w:szCs w:val="20"/>
          <w:u w:val="single"/>
        </w:rPr>
        <w:t>.</w:t>
      </w:r>
      <w:r w:rsidR="00105508">
        <w:rPr>
          <w:rFonts w:ascii="Century Gothic" w:hAnsi="Century Gothic"/>
          <w:b/>
          <w:sz w:val="20"/>
          <w:szCs w:val="20"/>
          <w:u w:val="single"/>
        </w:rPr>
        <w:t>2015</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105508">
        <w:rPr>
          <w:rFonts w:ascii="Arial" w:hAnsi="Arial" w:cs="Arial"/>
          <w:b/>
          <w:bCs/>
          <w:sz w:val="20"/>
          <w:szCs w:val="20"/>
          <w:u w:val="single"/>
          <w:lang w:val="en-IN" w:eastAsia="en-IN"/>
        </w:rPr>
        <w:t>Vacuum Oven</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C3057B" w:rsidRPr="00F300BB" w:rsidRDefault="00C3057B" w:rsidP="00C3057B">
      <w:pPr>
        <w:jc w:val="center"/>
        <w:rPr>
          <w:rFonts w:ascii="Times New Roman" w:hAnsi="Times New Roman"/>
          <w:b/>
          <w:sz w:val="24"/>
          <w:szCs w:val="24"/>
          <w:u w:val="single"/>
        </w:rPr>
      </w:pPr>
      <w:r w:rsidRPr="00F300BB">
        <w:rPr>
          <w:rFonts w:ascii="Times New Roman" w:hAnsi="Times New Roman"/>
          <w:b/>
          <w:sz w:val="24"/>
          <w:szCs w:val="24"/>
          <w:u w:val="single"/>
        </w:rPr>
        <w:t xml:space="preserve">Technical Specifications of </w:t>
      </w:r>
      <w:r w:rsidR="00105508">
        <w:rPr>
          <w:rFonts w:ascii="Times New Roman" w:hAnsi="Times New Roman"/>
          <w:b/>
          <w:sz w:val="24"/>
          <w:szCs w:val="24"/>
          <w:u w:val="single"/>
        </w:rPr>
        <w:t>Vacuum Oven</w:t>
      </w:r>
    </w:p>
    <w:p w:rsidR="000A18DD" w:rsidRDefault="00C3057B" w:rsidP="000A18DD">
      <w:pPr>
        <w:rPr>
          <w:rFonts w:ascii="Times New Roman" w:hAnsi="Times New Roman"/>
          <w:b/>
          <w:sz w:val="24"/>
          <w:szCs w:val="24"/>
          <w:lang w:val="en-IN"/>
        </w:rPr>
      </w:pPr>
      <w:r w:rsidRPr="00160E8A">
        <w:rPr>
          <w:rFonts w:ascii="Times New Roman" w:hAnsi="Times New Roman"/>
          <w:b/>
          <w:sz w:val="24"/>
          <w:szCs w:val="24"/>
          <w:lang w:val="en-IN"/>
        </w:rPr>
        <w:t>Technical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6132"/>
      </w:tblGrid>
      <w:tr w:rsidR="000A18DD" w:rsidTr="00C84FAC">
        <w:trPr>
          <w:trHeight w:val="426"/>
        </w:trPr>
        <w:tc>
          <w:tcPr>
            <w:tcW w:w="2661" w:type="dxa"/>
          </w:tcPr>
          <w:p w:rsidR="000A18DD" w:rsidRPr="003316FC" w:rsidRDefault="000A18DD" w:rsidP="00C84FAC">
            <w:pPr>
              <w:rPr>
                <w:rFonts w:ascii="Times New Roman" w:hAnsi="Times New Roman"/>
                <w:sz w:val="24"/>
                <w:szCs w:val="24"/>
                <w:lang w:val="en-IN"/>
              </w:rPr>
            </w:pPr>
            <w:r w:rsidRPr="003316FC">
              <w:rPr>
                <w:rFonts w:ascii="Times New Roman" w:hAnsi="Times New Roman"/>
                <w:sz w:val="24"/>
                <w:szCs w:val="24"/>
                <w:lang w:val="en-IN"/>
              </w:rPr>
              <w:t>Capacity</w:t>
            </w:r>
          </w:p>
        </w:tc>
        <w:tc>
          <w:tcPr>
            <w:tcW w:w="6132"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 15 litres or more</w:t>
            </w:r>
          </w:p>
        </w:tc>
      </w:tr>
      <w:tr w:rsidR="000A18DD" w:rsidTr="00C84FAC">
        <w:trPr>
          <w:trHeight w:val="426"/>
        </w:trPr>
        <w:tc>
          <w:tcPr>
            <w:tcW w:w="2661"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 xml:space="preserve">Temperature </w:t>
            </w:r>
          </w:p>
        </w:tc>
        <w:tc>
          <w:tcPr>
            <w:tcW w:w="6132"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 Maximum 200 °C or more</w:t>
            </w:r>
          </w:p>
        </w:tc>
      </w:tr>
      <w:tr w:rsidR="000A18DD" w:rsidTr="00C84FAC">
        <w:trPr>
          <w:trHeight w:val="426"/>
        </w:trPr>
        <w:tc>
          <w:tcPr>
            <w:tcW w:w="2661"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Material of construction</w:t>
            </w:r>
          </w:p>
        </w:tc>
        <w:tc>
          <w:tcPr>
            <w:tcW w:w="6132"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 Inside chamber stainless steel construction</w:t>
            </w:r>
          </w:p>
        </w:tc>
      </w:tr>
      <w:tr w:rsidR="000A18DD" w:rsidTr="00C84FAC">
        <w:trPr>
          <w:trHeight w:val="426"/>
        </w:trPr>
        <w:tc>
          <w:tcPr>
            <w:tcW w:w="2661"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Display type</w:t>
            </w:r>
          </w:p>
        </w:tc>
        <w:tc>
          <w:tcPr>
            <w:tcW w:w="6132"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 Digital LED/LCD display of temperature</w:t>
            </w:r>
          </w:p>
        </w:tc>
      </w:tr>
      <w:tr w:rsidR="000A18DD" w:rsidTr="00C84FAC">
        <w:trPr>
          <w:trHeight w:val="712"/>
        </w:trPr>
        <w:tc>
          <w:tcPr>
            <w:tcW w:w="2661"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Design</w:t>
            </w:r>
          </w:p>
        </w:tc>
        <w:tc>
          <w:tcPr>
            <w:tcW w:w="6132"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 Front viewing glass window, one vacuum gauge front outside, 2 or more shelves</w:t>
            </w:r>
          </w:p>
        </w:tc>
      </w:tr>
      <w:tr w:rsidR="000A18DD" w:rsidTr="00C84FAC">
        <w:trPr>
          <w:trHeight w:val="426"/>
        </w:trPr>
        <w:tc>
          <w:tcPr>
            <w:tcW w:w="2661"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Safety features</w:t>
            </w:r>
          </w:p>
        </w:tc>
        <w:tc>
          <w:tcPr>
            <w:tcW w:w="6132" w:type="dxa"/>
          </w:tcPr>
          <w:p w:rsidR="000A18DD" w:rsidRPr="003316FC" w:rsidRDefault="000A18DD" w:rsidP="00C84FAC">
            <w:pPr>
              <w:rPr>
                <w:rFonts w:ascii="Times New Roman" w:hAnsi="Times New Roman"/>
                <w:sz w:val="24"/>
                <w:szCs w:val="24"/>
                <w:lang w:val="en-IN"/>
              </w:rPr>
            </w:pPr>
            <w:r>
              <w:rPr>
                <w:rFonts w:ascii="Times New Roman" w:hAnsi="Times New Roman"/>
                <w:sz w:val="24"/>
                <w:szCs w:val="24"/>
                <w:lang w:val="en-IN"/>
              </w:rPr>
              <w:t>: Over temperature protection</w:t>
            </w:r>
          </w:p>
        </w:tc>
      </w:tr>
      <w:tr w:rsidR="000A18DD" w:rsidTr="00C84FAC">
        <w:trPr>
          <w:trHeight w:val="404"/>
        </w:trPr>
        <w:tc>
          <w:tcPr>
            <w:tcW w:w="2661" w:type="dxa"/>
          </w:tcPr>
          <w:p w:rsidR="000A18DD" w:rsidRDefault="000A18DD" w:rsidP="00C84FAC">
            <w:pPr>
              <w:rPr>
                <w:rFonts w:ascii="Times New Roman" w:hAnsi="Times New Roman"/>
                <w:sz w:val="24"/>
                <w:szCs w:val="24"/>
                <w:lang w:val="en-IN"/>
              </w:rPr>
            </w:pPr>
            <w:r>
              <w:rPr>
                <w:rFonts w:ascii="Times New Roman" w:hAnsi="Times New Roman"/>
                <w:sz w:val="24"/>
                <w:szCs w:val="24"/>
                <w:lang w:val="en-IN"/>
              </w:rPr>
              <w:t>Warranty</w:t>
            </w:r>
          </w:p>
        </w:tc>
        <w:tc>
          <w:tcPr>
            <w:tcW w:w="6132" w:type="dxa"/>
          </w:tcPr>
          <w:p w:rsidR="000A18DD" w:rsidRDefault="000A18DD" w:rsidP="00C84FAC">
            <w:pPr>
              <w:rPr>
                <w:rFonts w:ascii="Times New Roman" w:hAnsi="Times New Roman"/>
                <w:sz w:val="24"/>
                <w:szCs w:val="24"/>
                <w:lang w:val="en-IN"/>
              </w:rPr>
            </w:pPr>
            <w:r>
              <w:rPr>
                <w:rFonts w:ascii="Times New Roman" w:hAnsi="Times New Roman"/>
                <w:sz w:val="24"/>
                <w:szCs w:val="24"/>
                <w:lang w:val="en-IN"/>
              </w:rPr>
              <w:t>: 3 years or more</w:t>
            </w:r>
          </w:p>
        </w:tc>
      </w:tr>
    </w:tbl>
    <w:p w:rsidR="000A18DD" w:rsidRDefault="000A18DD" w:rsidP="000A18DD">
      <w:pPr>
        <w:rPr>
          <w:rFonts w:ascii="Times New Roman" w:hAnsi="Times New Roman"/>
          <w:b/>
          <w:sz w:val="24"/>
          <w:szCs w:val="24"/>
        </w:rPr>
      </w:pPr>
    </w:p>
    <w:p w:rsidR="000A18DD" w:rsidRPr="00EA6755" w:rsidRDefault="000A18DD" w:rsidP="000A18DD">
      <w:pPr>
        <w:rPr>
          <w:rFonts w:ascii="Times New Roman" w:hAnsi="Times New Roman"/>
          <w:b/>
          <w:sz w:val="24"/>
          <w:szCs w:val="24"/>
        </w:rPr>
      </w:pPr>
      <w:r w:rsidRPr="00EA6755">
        <w:rPr>
          <w:rFonts w:ascii="Times New Roman" w:hAnsi="Times New Roman"/>
          <w:b/>
          <w:sz w:val="24"/>
          <w:szCs w:val="24"/>
        </w:rPr>
        <w:t>General:</w:t>
      </w:r>
    </w:p>
    <w:p w:rsidR="000A18DD" w:rsidRPr="00F300BB" w:rsidRDefault="000A18DD" w:rsidP="000A18DD">
      <w:pPr>
        <w:pStyle w:val="ListParagraph"/>
        <w:numPr>
          <w:ilvl w:val="0"/>
          <w:numId w:val="37"/>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The vendor must provide authorization letter from the manufacturer.</w:t>
      </w:r>
    </w:p>
    <w:p w:rsidR="000A18DD" w:rsidRDefault="000A18DD" w:rsidP="000A18D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 xml:space="preserve">The system should be stand alone with respect to all functionalities of </w:t>
      </w:r>
      <w:r>
        <w:rPr>
          <w:rStyle w:val="CharacterStyle1"/>
          <w:rFonts w:eastAsia="Calibri"/>
          <w:color w:val="000000" w:themeColor="text1"/>
          <w:sz w:val="24"/>
          <w:szCs w:val="24"/>
        </w:rPr>
        <w:t xml:space="preserve">instrument </w:t>
      </w:r>
      <w:r w:rsidRPr="00F300BB">
        <w:rPr>
          <w:rStyle w:val="CharacterStyle1"/>
          <w:rFonts w:eastAsia="Calibri"/>
          <w:color w:val="000000" w:themeColor="text1"/>
          <w:sz w:val="24"/>
          <w:szCs w:val="24"/>
        </w:rPr>
        <w:t>and its accessories</w:t>
      </w:r>
      <w:r>
        <w:rPr>
          <w:rStyle w:val="CharacterStyle1"/>
          <w:rFonts w:eastAsia="Calibri"/>
          <w:color w:val="000000" w:themeColor="text1"/>
          <w:sz w:val="24"/>
          <w:szCs w:val="24"/>
        </w:rPr>
        <w:t xml:space="preserve"> (connection kit including clamps, rings, hose </w:t>
      </w:r>
      <w:proofErr w:type="spellStart"/>
      <w:r>
        <w:rPr>
          <w:rStyle w:val="CharacterStyle1"/>
          <w:rFonts w:eastAsia="Calibri"/>
          <w:color w:val="000000" w:themeColor="text1"/>
          <w:sz w:val="24"/>
          <w:szCs w:val="24"/>
        </w:rPr>
        <w:t>atleast</w:t>
      </w:r>
      <w:proofErr w:type="spellEnd"/>
      <w:r>
        <w:rPr>
          <w:rStyle w:val="CharacterStyle1"/>
          <w:rFonts w:eastAsia="Calibri"/>
          <w:color w:val="000000" w:themeColor="text1"/>
          <w:sz w:val="24"/>
          <w:szCs w:val="24"/>
        </w:rPr>
        <w:t xml:space="preserve"> 1.0 meter or more length to connect to vacuum pump) and</w:t>
      </w:r>
      <w:r w:rsidRPr="00F300BB">
        <w:rPr>
          <w:rStyle w:val="CharacterStyle1"/>
          <w:rFonts w:eastAsia="Calibri"/>
          <w:color w:val="000000" w:themeColor="text1"/>
          <w:sz w:val="24"/>
          <w:szCs w:val="24"/>
        </w:rPr>
        <w:t xml:space="preserve"> peripherals </w:t>
      </w:r>
      <w:r>
        <w:rPr>
          <w:rStyle w:val="CharacterStyle1"/>
          <w:rFonts w:eastAsia="Calibri"/>
          <w:color w:val="000000" w:themeColor="text1"/>
          <w:sz w:val="24"/>
          <w:szCs w:val="24"/>
        </w:rPr>
        <w:t>such as</w:t>
      </w:r>
      <w:r w:rsidRPr="00F300BB">
        <w:rPr>
          <w:rStyle w:val="CharacterStyle1"/>
          <w:rFonts w:eastAsia="Calibri"/>
          <w:color w:val="000000" w:themeColor="text1"/>
          <w:sz w:val="24"/>
          <w:szCs w:val="24"/>
        </w:rPr>
        <w:t xml:space="preserve"> </w:t>
      </w:r>
      <w:r>
        <w:rPr>
          <w:rStyle w:val="CharacterStyle1"/>
          <w:rFonts w:eastAsia="Calibri"/>
          <w:color w:val="000000" w:themeColor="text1"/>
          <w:sz w:val="24"/>
          <w:szCs w:val="24"/>
        </w:rPr>
        <w:t>power cord and shelves/racks preferably aluminum.</w:t>
      </w:r>
    </w:p>
    <w:p w:rsidR="000A18DD" w:rsidRDefault="000A18DD" w:rsidP="000A18D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manufacturing firm should have ISO/CE certification.</w:t>
      </w:r>
    </w:p>
    <w:p w:rsidR="000A18DD" w:rsidRPr="00F300BB" w:rsidRDefault="000A18DD" w:rsidP="000A18D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 xml:space="preserve">A list of users in India (particularly Govt. of India R&amp; D organizations) and a copy of at least three latest purchase orders of the </w:t>
      </w:r>
      <w:r>
        <w:rPr>
          <w:rStyle w:val="CharacterStyle1"/>
          <w:rFonts w:eastAsia="Calibri"/>
          <w:color w:val="000000" w:themeColor="text1"/>
          <w:sz w:val="24"/>
          <w:szCs w:val="24"/>
        </w:rPr>
        <w:t xml:space="preserve">same or </w:t>
      </w:r>
      <w:r w:rsidRPr="00F300BB">
        <w:rPr>
          <w:rStyle w:val="CharacterStyle1"/>
          <w:rFonts w:eastAsia="Calibri"/>
          <w:color w:val="000000" w:themeColor="text1"/>
          <w:sz w:val="24"/>
          <w:szCs w:val="24"/>
        </w:rPr>
        <w:t>similar model.</w:t>
      </w:r>
    </w:p>
    <w:p w:rsidR="000A18DD" w:rsidRPr="009128A2" w:rsidRDefault="000A18DD" w:rsidP="000A18D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suited to Indian system of electrical inputs (220</w:t>
      </w:r>
      <w:r w:rsidR="00A164E0">
        <w:rPr>
          <w:rStyle w:val="CharacterStyle1"/>
          <w:rFonts w:eastAsia="Calibri"/>
          <w:color w:val="000000" w:themeColor="text1"/>
          <w:sz w:val="24"/>
          <w:szCs w:val="24"/>
        </w:rPr>
        <w:t>-2</w:t>
      </w:r>
      <w:bookmarkStart w:id="0" w:name="_GoBack"/>
      <w:bookmarkEnd w:id="0"/>
      <w:r>
        <w:rPr>
          <w:rStyle w:val="CharacterStyle1"/>
          <w:rFonts w:eastAsia="Calibri"/>
          <w:color w:val="000000" w:themeColor="text1"/>
          <w:sz w:val="24"/>
          <w:szCs w:val="24"/>
        </w:rPr>
        <w:t>30</w:t>
      </w:r>
      <w:r w:rsidRPr="00F300BB">
        <w:rPr>
          <w:rStyle w:val="CharacterStyle1"/>
          <w:rFonts w:eastAsia="Calibri"/>
          <w:color w:val="000000" w:themeColor="text1"/>
          <w:sz w:val="24"/>
          <w:szCs w:val="24"/>
        </w:rPr>
        <w:t>V/ 50Hz).</w:t>
      </w:r>
    </w:p>
    <w:p w:rsidR="000A18DD" w:rsidRPr="00F300BB" w:rsidRDefault="000A18DD" w:rsidP="000A18DD">
      <w:pPr>
        <w:pStyle w:val="Style2"/>
        <w:kinsoku w:val="0"/>
        <w:autoSpaceDE/>
        <w:autoSpaceDN/>
        <w:spacing w:before="36" w:line="273" w:lineRule="auto"/>
        <w:ind w:left="426"/>
        <w:rPr>
          <w:rStyle w:val="CharacterStyle1"/>
          <w:rFonts w:eastAsia="Calibri"/>
          <w:sz w:val="24"/>
          <w:szCs w:val="24"/>
        </w:rPr>
      </w:pPr>
    </w:p>
    <w:p w:rsidR="000A18DD" w:rsidRDefault="000A18DD" w:rsidP="000A18DD">
      <w:pPr>
        <w:jc w:val="both"/>
        <w:rPr>
          <w:rFonts w:ascii="Times New Roman" w:hAnsi="Times New Roman"/>
          <w:b/>
          <w:bCs/>
          <w:i/>
          <w:iCs/>
          <w:sz w:val="24"/>
          <w:szCs w:val="24"/>
        </w:rPr>
      </w:pPr>
      <w:r w:rsidRPr="00F300BB">
        <w:rPr>
          <w:rFonts w:ascii="Times New Roman" w:hAnsi="Times New Roman"/>
          <w:b/>
          <w:bCs/>
          <w:i/>
          <w:iCs/>
          <w:sz w:val="24"/>
          <w:szCs w:val="24"/>
        </w:rPr>
        <w:t>Failing in compliance may cause cancellation of the bid without any further</w:t>
      </w:r>
      <w:r>
        <w:rPr>
          <w:rFonts w:ascii="Times New Roman" w:hAnsi="Times New Roman"/>
          <w:b/>
          <w:bCs/>
          <w:i/>
          <w:iCs/>
          <w:sz w:val="24"/>
          <w:szCs w:val="24"/>
        </w:rPr>
        <w:t xml:space="preserve"> </w:t>
      </w:r>
      <w:r w:rsidRPr="00F300BB">
        <w:rPr>
          <w:rFonts w:ascii="Times New Roman" w:hAnsi="Times New Roman"/>
          <w:b/>
          <w:bCs/>
          <w:i/>
          <w:iCs/>
          <w:sz w:val="24"/>
          <w:szCs w:val="24"/>
        </w:rPr>
        <w:t>notice/information.</w:t>
      </w:r>
    </w:p>
    <w:p w:rsidR="00671800" w:rsidRPr="000A18DD" w:rsidRDefault="00671800" w:rsidP="000A18DD">
      <w:pPr>
        <w:jc w:val="both"/>
        <w:rPr>
          <w:rFonts w:ascii="Times New Roman" w:hAnsi="Times New Roman"/>
          <w:b/>
          <w:bCs/>
          <w:i/>
          <w:iCs/>
          <w:sz w:val="24"/>
          <w:szCs w:val="24"/>
        </w:rPr>
      </w:pPr>
      <w:r w:rsidRPr="00C3057B">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C3057B">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The warranty period of an item shall commence from the date of receipt of the item in good working condition and satisfactory installation/commissioning/demo</w:t>
      </w:r>
      <w:r w:rsidR="00BB46F6">
        <w:rPr>
          <w:rFonts w:ascii="Arial" w:hAnsi="Arial" w:cs="Arial"/>
          <w:sz w:val="20"/>
          <w:szCs w:val="20"/>
        </w:rPr>
        <w:t xml:space="preserve">nstration at the project site Center of Innovative and Applied </w:t>
      </w:r>
      <w:r w:rsidR="00BB46F6">
        <w:rPr>
          <w:rFonts w:ascii="Arial" w:hAnsi="Arial" w:cs="Arial"/>
          <w:sz w:val="20"/>
          <w:szCs w:val="20"/>
        </w:rPr>
        <w:lastRenderedPageBreak/>
        <w:t>Bioproces</w:t>
      </w:r>
      <w:r w:rsidR="0027385C">
        <w:rPr>
          <w:rFonts w:ascii="Arial" w:hAnsi="Arial" w:cs="Arial"/>
          <w:sz w:val="20"/>
          <w:szCs w:val="20"/>
        </w:rPr>
        <w:t>s</w:t>
      </w:r>
      <w:r w:rsidR="00BB46F6">
        <w:rPr>
          <w:rFonts w:ascii="Arial" w:hAnsi="Arial" w:cs="Arial"/>
          <w:sz w:val="20"/>
          <w:szCs w:val="20"/>
        </w:rPr>
        <w:t>ing</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proofErr w:type="spellStart"/>
            <w:r w:rsidRPr="00D26E81">
              <w:rPr>
                <w:sz w:val="18"/>
                <w:szCs w:val="18"/>
              </w:rPr>
              <w:t>Qty</w:t>
            </w:r>
            <w:proofErr w:type="spellEnd"/>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Pr="008A3598" w:rsidRDefault="00FE334E" w:rsidP="00671800">
      <w:pPr>
        <w:spacing w:after="0"/>
        <w:rPr>
          <w:rStyle w:val="Strong"/>
          <w:b w:val="0"/>
          <w:bCs w:val="0"/>
        </w:rPr>
      </w:pPr>
    </w:p>
    <w:sectPr w:rsidR="00FE334E" w:rsidRPr="008A3598" w:rsidSect="00C3057B">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E4" w:rsidRDefault="004F2DE4">
      <w:pPr>
        <w:spacing w:after="0" w:line="240" w:lineRule="auto"/>
      </w:pPr>
      <w:r>
        <w:separator/>
      </w:r>
    </w:p>
  </w:endnote>
  <w:endnote w:type="continuationSeparator" w:id="0">
    <w:p w:rsidR="004F2DE4" w:rsidRDefault="004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635A56"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E4" w:rsidRDefault="004F2DE4">
      <w:pPr>
        <w:spacing w:after="0" w:line="240" w:lineRule="auto"/>
      </w:pPr>
      <w:r>
        <w:separator/>
      </w:r>
    </w:p>
  </w:footnote>
  <w:footnote w:type="continuationSeparator" w:id="0">
    <w:p w:rsidR="004F2DE4" w:rsidRDefault="004F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635A56" w:rsidP="00B64ED4">
                          <w:pPr>
                            <w:pStyle w:val="Header"/>
                            <w:spacing w:line="276" w:lineRule="auto"/>
                            <w:jc w:val="center"/>
                            <w:rPr>
                              <w:rFonts w:ascii="Arial" w:hAnsi="Arial" w:cs="Arial"/>
                              <w:b/>
                              <w:color w:val="92D050"/>
                              <w:sz w:val="20"/>
                            </w:rPr>
                          </w:pPr>
                        </w:p>
                        <w:p w:rsidR="00B64ED4" w:rsidRDefault="00635A56" w:rsidP="00B64ED4">
                          <w:pPr>
                            <w:pStyle w:val="Header"/>
                            <w:spacing w:line="276" w:lineRule="auto"/>
                            <w:jc w:val="center"/>
                            <w:rPr>
                              <w:rFonts w:ascii="Arial" w:hAnsi="Arial" w:cs="Arial"/>
                              <w:b/>
                              <w:color w:val="92D050"/>
                              <w:sz w:val="20"/>
                            </w:rPr>
                          </w:pPr>
                        </w:p>
                        <w:p w:rsidR="00B64ED4" w:rsidRPr="00826ABB" w:rsidRDefault="00635A56"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635A56" w:rsidP="00B64ED4">
                    <w:pPr>
                      <w:pStyle w:val="Header"/>
                      <w:spacing w:line="276" w:lineRule="auto"/>
                      <w:jc w:val="center"/>
                      <w:rPr>
                        <w:rFonts w:ascii="Arial" w:hAnsi="Arial" w:cs="Arial"/>
                        <w:b/>
                        <w:color w:val="92D050"/>
                        <w:sz w:val="20"/>
                      </w:rPr>
                    </w:pPr>
                  </w:p>
                  <w:p w:rsidR="00B64ED4" w:rsidRDefault="00635A56" w:rsidP="00B64ED4">
                    <w:pPr>
                      <w:pStyle w:val="Header"/>
                      <w:spacing w:line="276" w:lineRule="auto"/>
                      <w:jc w:val="center"/>
                      <w:rPr>
                        <w:rFonts w:ascii="Arial" w:hAnsi="Arial" w:cs="Arial"/>
                        <w:b/>
                        <w:color w:val="92D050"/>
                        <w:sz w:val="20"/>
                      </w:rPr>
                    </w:pPr>
                  </w:p>
                  <w:p w:rsidR="00B64ED4" w:rsidRPr="00826ABB" w:rsidRDefault="00635A56"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635A56" w:rsidP="00B64ED4">
    <w:pPr>
      <w:pStyle w:val="Header"/>
    </w:pPr>
  </w:p>
  <w:p w:rsidR="00B64ED4" w:rsidRDefault="00635A56" w:rsidP="00B64ED4">
    <w:pPr>
      <w:pStyle w:val="Header"/>
    </w:pPr>
  </w:p>
  <w:p w:rsidR="00B64ED4" w:rsidRDefault="00635A56"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9">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2">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6"/>
  </w:num>
  <w:num w:numId="12">
    <w:abstractNumId w:val="35"/>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11"/>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4"/>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2"/>
  </w:num>
  <w:num w:numId="32">
    <w:abstractNumId w:val="13"/>
  </w:num>
  <w:num w:numId="33">
    <w:abstractNumId w:val="4"/>
  </w:num>
  <w:num w:numId="34">
    <w:abstractNumId w:val="18"/>
  </w:num>
  <w:num w:numId="35">
    <w:abstractNumId w:val="12"/>
  </w:num>
  <w:num w:numId="36">
    <w:abstractNumId w:val="2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32643"/>
    <w:rsid w:val="00084654"/>
    <w:rsid w:val="000A18DD"/>
    <w:rsid w:val="000E0222"/>
    <w:rsid w:val="000F2D9F"/>
    <w:rsid w:val="00105508"/>
    <w:rsid w:val="00110A48"/>
    <w:rsid w:val="00121ECB"/>
    <w:rsid w:val="00137873"/>
    <w:rsid w:val="00146A61"/>
    <w:rsid w:val="00162AA1"/>
    <w:rsid w:val="001814B4"/>
    <w:rsid w:val="001862D2"/>
    <w:rsid w:val="00192D96"/>
    <w:rsid w:val="001943D6"/>
    <w:rsid w:val="00196AD5"/>
    <w:rsid w:val="001D5845"/>
    <w:rsid w:val="00217DC2"/>
    <w:rsid w:val="0027385C"/>
    <w:rsid w:val="00295C15"/>
    <w:rsid w:val="002E0B17"/>
    <w:rsid w:val="003B588D"/>
    <w:rsid w:val="003E36BA"/>
    <w:rsid w:val="003F0832"/>
    <w:rsid w:val="00415950"/>
    <w:rsid w:val="0045343B"/>
    <w:rsid w:val="004E0774"/>
    <w:rsid w:val="004F2DE4"/>
    <w:rsid w:val="004F79F9"/>
    <w:rsid w:val="0055022E"/>
    <w:rsid w:val="00555485"/>
    <w:rsid w:val="005A083E"/>
    <w:rsid w:val="005B3270"/>
    <w:rsid w:val="00604489"/>
    <w:rsid w:val="00671800"/>
    <w:rsid w:val="00680C66"/>
    <w:rsid w:val="006A3F0F"/>
    <w:rsid w:val="00705050"/>
    <w:rsid w:val="0073604C"/>
    <w:rsid w:val="00757A46"/>
    <w:rsid w:val="0076196A"/>
    <w:rsid w:val="007E40B6"/>
    <w:rsid w:val="0080429C"/>
    <w:rsid w:val="0080538A"/>
    <w:rsid w:val="00807834"/>
    <w:rsid w:val="00816489"/>
    <w:rsid w:val="0082649A"/>
    <w:rsid w:val="00854BD0"/>
    <w:rsid w:val="0085582D"/>
    <w:rsid w:val="008A3598"/>
    <w:rsid w:val="009231DD"/>
    <w:rsid w:val="00930016"/>
    <w:rsid w:val="009362FB"/>
    <w:rsid w:val="00941282"/>
    <w:rsid w:val="00950A48"/>
    <w:rsid w:val="009A2B09"/>
    <w:rsid w:val="009E1287"/>
    <w:rsid w:val="00A164E0"/>
    <w:rsid w:val="00A169E0"/>
    <w:rsid w:val="00A22303"/>
    <w:rsid w:val="00A270F5"/>
    <w:rsid w:val="00A37A1F"/>
    <w:rsid w:val="00AC1FA4"/>
    <w:rsid w:val="00AD4BC9"/>
    <w:rsid w:val="00AD7B55"/>
    <w:rsid w:val="00AE1C00"/>
    <w:rsid w:val="00AF718A"/>
    <w:rsid w:val="00B13AEB"/>
    <w:rsid w:val="00B8366F"/>
    <w:rsid w:val="00BB46F6"/>
    <w:rsid w:val="00BD2B17"/>
    <w:rsid w:val="00C23D58"/>
    <w:rsid w:val="00C25525"/>
    <w:rsid w:val="00C3057B"/>
    <w:rsid w:val="00CE6331"/>
    <w:rsid w:val="00D32FC3"/>
    <w:rsid w:val="00D86481"/>
    <w:rsid w:val="00DB2A4F"/>
    <w:rsid w:val="00DD2974"/>
    <w:rsid w:val="00DD5BA3"/>
    <w:rsid w:val="00DE14C9"/>
    <w:rsid w:val="00DE1867"/>
    <w:rsid w:val="00E05AC3"/>
    <w:rsid w:val="00E221AA"/>
    <w:rsid w:val="00E325C9"/>
    <w:rsid w:val="00E836A8"/>
    <w:rsid w:val="00E9459A"/>
    <w:rsid w:val="00EC2C17"/>
    <w:rsid w:val="00EE7CA8"/>
    <w:rsid w:val="00F15749"/>
    <w:rsid w:val="00F564E6"/>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B434-926A-4FA4-AC02-3D96DFAE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Store Asst</cp:lastModifiedBy>
  <cp:revision>2</cp:revision>
  <cp:lastPrinted>2014-11-21T04:41:00Z</cp:lastPrinted>
  <dcterms:created xsi:type="dcterms:W3CDTF">2015-01-21T09:54:00Z</dcterms:created>
  <dcterms:modified xsi:type="dcterms:W3CDTF">2015-01-21T09:54:00Z</dcterms:modified>
</cp:coreProperties>
</file>